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188"/>
      </w:tblGrid>
      <w:tr w:rsidR="00D1300B">
        <w:trPr>
          <w:cantSplit/>
        </w:trPr>
        <w:tc>
          <w:tcPr>
            <w:tcW w:w="8856" w:type="dxa"/>
            <w:gridSpan w:val="7"/>
          </w:tcPr>
          <w:p w:rsidR="00D1300B" w:rsidRDefault="00D1300B">
            <w:pPr>
              <w:rPr>
                <w:rFonts w:ascii="Arial" w:hAnsi="Arial"/>
                <w:lang w:val="en-GB"/>
              </w:rPr>
            </w:pPr>
          </w:p>
          <w:p w:rsidR="00D1300B" w:rsidRDefault="00D1300B" w:rsidP="00441621">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441621">
            <w:pPr>
              <w:jc w:val="center"/>
              <w:rPr>
                <w:rFonts w:ascii="Arial" w:hAnsi="Arial"/>
                <w:b/>
                <w:sz w:val="28"/>
                <w:lang w:val="en-GB"/>
              </w:rPr>
            </w:pPr>
          </w:p>
          <w:p w:rsidR="00D1300B" w:rsidRPr="00C97440" w:rsidRDefault="00D1300B" w:rsidP="00441621">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6637804A" wp14:editId="7A4186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41621">
            <w:pPr>
              <w:rPr>
                <w:rFonts w:ascii="Arial" w:hAnsi="Arial"/>
              </w:rPr>
            </w:pPr>
            <w:r>
              <w:rPr>
                <w:rFonts w:ascii="Arial" w:hAnsi="Arial"/>
              </w:rPr>
              <w:t>Canadian Electrical Code – Level 2</w:t>
            </w:r>
          </w:p>
        </w:tc>
      </w:tr>
      <w:tr w:rsidR="0004748F">
        <w:tc>
          <w:tcPr>
            <w:tcW w:w="2518" w:type="dxa"/>
            <w:gridSpan w:val="2"/>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w:t>
            </w:r>
            <w:r w:rsidR="00F826E9">
              <w:rPr>
                <w:rFonts w:ascii="Arial" w:hAnsi="Arial"/>
              </w:rPr>
              <w:t>723</w:t>
            </w:r>
          </w:p>
        </w:tc>
        <w:tc>
          <w:tcPr>
            <w:tcW w:w="1701" w:type="dxa"/>
          </w:tcPr>
          <w:p w:rsidR="0004748F" w:rsidRDefault="00905DEF">
            <w:pPr>
              <w:rPr>
                <w:rFonts w:ascii="Arial" w:hAnsi="Arial"/>
                <w:b/>
              </w:rPr>
            </w:pPr>
            <w:r>
              <w:rPr>
                <w:rFonts w:ascii="Arial" w:hAnsi="Arial"/>
                <w:b/>
                <w:lang w:val="en-GB"/>
              </w:rPr>
              <w:t>APP Level:</w:t>
            </w:r>
          </w:p>
        </w:tc>
        <w:tc>
          <w:tcPr>
            <w:tcW w:w="1235" w:type="dxa"/>
            <w:gridSpan w:val="2"/>
          </w:tcPr>
          <w:p w:rsidR="0004748F" w:rsidRDefault="00905DEF" w:rsidP="0004748F">
            <w:pPr>
              <w:rPr>
                <w:rFonts w:ascii="Arial" w:hAnsi="Arial"/>
              </w:rPr>
            </w:pPr>
            <w:r>
              <w:rPr>
                <w:rFonts w:ascii="Arial" w:hAnsi="Arial"/>
              </w:rPr>
              <w:t>TWO</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41621">
            <w:pPr>
              <w:rPr>
                <w:rFonts w:ascii="Arial" w:hAnsi="Arial"/>
              </w:rPr>
            </w:pPr>
            <w:r>
              <w:rPr>
                <w:rFonts w:ascii="Arial" w:hAnsi="Arial"/>
              </w:rPr>
              <w:t xml:space="preserve">Construction &amp; Maintenance Electrician – Level </w:t>
            </w:r>
            <w:r w:rsidR="00905DEF">
              <w:rPr>
                <w:rFonts w:ascii="Arial" w:hAnsi="Arial"/>
              </w:rPr>
              <w:t xml:space="preserve"> </w:t>
            </w:r>
            <w:r>
              <w:rPr>
                <w:rFonts w:ascii="Arial" w:hAnsi="Arial"/>
              </w:rPr>
              <w:t>2</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41621">
            <w:pPr>
              <w:rPr>
                <w:rFonts w:ascii="Arial" w:hAnsi="Arial"/>
              </w:rPr>
            </w:pPr>
            <w:r>
              <w:rPr>
                <w:rFonts w:ascii="Arial" w:hAnsi="Arial"/>
              </w:rPr>
              <w:t>Sean Hager</w:t>
            </w:r>
          </w:p>
        </w:tc>
      </w:tr>
      <w:tr w:rsidR="00D1300B">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112E6">
            <w:pPr>
              <w:rPr>
                <w:rFonts w:ascii="Arial" w:hAnsi="Arial"/>
              </w:rPr>
            </w:pPr>
            <w:r>
              <w:rPr>
                <w:rFonts w:ascii="Arial" w:hAnsi="Arial"/>
              </w:rPr>
              <w:t>October</w:t>
            </w:r>
          </w:p>
          <w:p w:rsidR="00441621" w:rsidRDefault="00441621">
            <w:pPr>
              <w:rPr>
                <w:rFonts w:ascii="Arial" w:hAnsi="Arial"/>
              </w:rPr>
            </w:pPr>
            <w:r>
              <w:rPr>
                <w:rFonts w:ascii="Arial" w:hAnsi="Arial"/>
              </w:rPr>
              <w:t>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F112E6">
            <w:pPr>
              <w:rPr>
                <w:rFonts w:ascii="Arial" w:hAnsi="Arial"/>
              </w:rPr>
            </w:pPr>
            <w:r>
              <w:rPr>
                <w:rFonts w:ascii="Arial" w:hAnsi="Arial"/>
              </w:rPr>
              <w:t>October</w:t>
            </w:r>
            <w:bookmarkStart w:id="0" w:name="_GoBack"/>
            <w:bookmarkEnd w:id="0"/>
            <w:r w:rsidR="0004748F">
              <w:rPr>
                <w:rFonts w:ascii="Arial" w:hAnsi="Arial"/>
              </w:rPr>
              <w:t>2014</w:t>
            </w:r>
          </w:p>
          <w:p w:rsidR="00441621" w:rsidRDefault="00441621">
            <w:pPr>
              <w:rPr>
                <w:rFonts w:ascii="Arial" w:hAnsi="Arial"/>
              </w:rPr>
            </w:pPr>
          </w:p>
        </w:tc>
      </w:tr>
      <w:tr w:rsidR="00D1300B">
        <w:trPr>
          <w:cantSplit/>
        </w:trPr>
        <w:tc>
          <w:tcPr>
            <w:tcW w:w="2518" w:type="dxa"/>
            <w:gridSpan w:val="2"/>
          </w:tcPr>
          <w:p w:rsidR="00D1300B" w:rsidRDefault="00D1300B">
            <w:pPr>
              <w:rPr>
                <w:rFonts w:ascii="Arial" w:hAnsi="Arial"/>
              </w:rPr>
            </w:pPr>
            <w:r>
              <w:rPr>
                <w:rFonts w:ascii="Arial" w:hAnsi="Arial"/>
                <w:b/>
                <w:lang w:val="en-GB"/>
              </w:rPr>
              <w:t>APPROVED:</w:t>
            </w:r>
          </w:p>
        </w:tc>
        <w:tc>
          <w:tcPr>
            <w:tcW w:w="5150" w:type="dxa"/>
            <w:gridSpan w:val="4"/>
          </w:tcPr>
          <w:p w:rsidR="00D1300B" w:rsidRDefault="00441621">
            <w:pPr>
              <w:jc w:val="center"/>
              <w:rPr>
                <w:rFonts w:ascii="Arial" w:hAnsi="Arial"/>
              </w:rPr>
            </w:pPr>
            <w:r w:rsidRPr="0018570E">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rPr>
            </w:pPr>
          </w:p>
        </w:tc>
        <w:tc>
          <w:tcPr>
            <w:tcW w:w="5150" w:type="dxa"/>
            <w:gridSpan w:val="4"/>
          </w:tcPr>
          <w:p w:rsidR="00D1300B" w:rsidRDefault="002876E6" w:rsidP="00441621">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4</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Default="00D1300B" w:rsidP="00441621">
            <w:pPr>
              <w:pStyle w:val="Heading2"/>
              <w:tabs>
                <w:tab w:val="center" w:pos="4560"/>
              </w:tabs>
              <w:rPr>
                <w:rFonts w:ascii="Arial" w:hAnsi="Arial"/>
                <w:b w:val="0"/>
              </w:rPr>
            </w:pPr>
            <w:r>
              <w:rPr>
                <w:rFonts w:ascii="Arial" w:hAnsi="Arial"/>
                <w:b w:val="0"/>
                <w:i/>
              </w:rPr>
              <w:t xml:space="preserve">For additional information, please contact </w:t>
            </w:r>
            <w:r w:rsidR="00441621">
              <w:rPr>
                <w:rFonts w:ascii="Arial" w:hAnsi="Arial"/>
                <w:b w:val="0"/>
                <w:i/>
              </w:rPr>
              <w:t>Corey Meunier, Chair</w:t>
            </w:r>
          </w:p>
        </w:tc>
      </w:tr>
      <w:tr w:rsidR="00D1300B">
        <w:trPr>
          <w:cantSplit/>
        </w:trPr>
        <w:tc>
          <w:tcPr>
            <w:tcW w:w="8856" w:type="dxa"/>
            <w:gridSpan w:val="7"/>
          </w:tcPr>
          <w:p w:rsidR="00D1300B" w:rsidRDefault="00441621">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7"/>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441621">
              <w:rPr>
                <w:rFonts w:ascii="Arial" w:hAnsi="Arial"/>
                <w:i/>
                <w:lang w:val="en-GB"/>
              </w:rPr>
              <w:t>2610</w:t>
            </w:r>
          </w:p>
          <w:p w:rsidR="00441621" w:rsidRDefault="00441621">
            <w:pPr>
              <w:tabs>
                <w:tab w:val="center" w:pos="4560"/>
              </w:tabs>
              <w:jc w:val="center"/>
              <w:rPr>
                <w:rFonts w:ascii="Arial" w:hAnsi="Arial"/>
              </w:rPr>
            </w:pPr>
          </w:p>
        </w:tc>
      </w:tr>
      <w:tr w:rsidR="00D1300B" w:rsidTr="00CF0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1"/>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rPr>
            </w:pPr>
            <w:r>
              <w:rPr>
                <w:rFonts w:ascii="Arial" w:hAnsi="Arial"/>
                <w:b/>
              </w:rPr>
              <w:t>COURSE DESCRIPTION:</w:t>
            </w:r>
            <w:r w:rsidR="00CF0384">
              <w:rPr>
                <w:rFonts w:ascii="Arial" w:hAnsi="Arial"/>
              </w:rPr>
              <w:t xml:space="preserve"> </w:t>
            </w:r>
            <w:r w:rsidR="00F826E9" w:rsidRPr="002F3978">
              <w:rPr>
                <w:rFonts w:ascii="Arial" w:hAnsi="Arial" w:cs="Arial"/>
                <w:bCs/>
              </w:rPr>
              <w:t>This course is a continuation of ELR623, Canadian Electrical Code Level I. The primary focus will be on code sections relating to commercial wiring practices.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F826E9" w:rsidRPr="006366DA">
        <w:tc>
          <w:tcPr>
            <w:tcW w:w="675" w:type="dxa"/>
          </w:tcPr>
          <w:p w:rsidR="00F826E9" w:rsidRPr="006366DA" w:rsidRDefault="00F826E9">
            <w:pPr>
              <w:rPr>
                <w:rFonts w:ascii="Arial" w:hAnsi="Arial"/>
                <w:b/>
                <w:i/>
              </w:rPr>
            </w:pPr>
          </w:p>
        </w:tc>
        <w:tc>
          <w:tcPr>
            <w:tcW w:w="567" w:type="dxa"/>
          </w:tcPr>
          <w:p w:rsidR="00F826E9" w:rsidRPr="006366DA" w:rsidRDefault="00F826E9" w:rsidP="0058232C">
            <w:pPr>
              <w:rPr>
                <w:rFonts w:ascii="Arial" w:hAnsi="Arial"/>
                <w:b/>
                <w:i/>
              </w:rPr>
            </w:pPr>
            <w:r w:rsidRPr="006366DA">
              <w:rPr>
                <w:rFonts w:ascii="Arial" w:hAnsi="Arial"/>
                <w:b/>
                <w:i/>
              </w:rPr>
              <w:t>1.</w:t>
            </w:r>
          </w:p>
        </w:tc>
        <w:tc>
          <w:tcPr>
            <w:tcW w:w="7614" w:type="dxa"/>
          </w:tcPr>
          <w:p w:rsidR="00F826E9" w:rsidRPr="006366DA" w:rsidRDefault="00F826E9" w:rsidP="0058232C">
            <w:pPr>
              <w:rPr>
                <w:rFonts w:ascii="Arial" w:hAnsi="Arial" w:cs="Arial"/>
                <w:b/>
                <w:i/>
              </w:rPr>
            </w:pPr>
            <w:r w:rsidRPr="006366DA">
              <w:rPr>
                <w:rFonts w:ascii="Arial" w:hAnsi="Arial" w:cs="Arial"/>
                <w:b/>
                <w:i/>
              </w:rPr>
              <w:t>Interpret the Canadian Electrical Code (CEC) requirements pertaining to commercial installations.</w:t>
            </w:r>
          </w:p>
          <w:p w:rsidR="00F826E9" w:rsidRPr="006366DA" w:rsidRDefault="00F826E9" w:rsidP="0058232C">
            <w:pPr>
              <w:rPr>
                <w:rFonts w:ascii="Arial" w:hAnsi="Arial"/>
                <w:b/>
                <w:i/>
              </w:rPr>
            </w:pPr>
          </w:p>
        </w:tc>
      </w:tr>
      <w:tr w:rsidR="00F826E9">
        <w:tc>
          <w:tcPr>
            <w:tcW w:w="675" w:type="dxa"/>
          </w:tcPr>
          <w:p w:rsidR="00F826E9" w:rsidRDefault="00F826E9">
            <w:pPr>
              <w:rPr>
                <w:rFonts w:ascii="Arial" w:hAnsi="Arial"/>
              </w:rPr>
            </w:pPr>
          </w:p>
        </w:tc>
        <w:tc>
          <w:tcPr>
            <w:tcW w:w="567" w:type="dxa"/>
          </w:tcPr>
          <w:p w:rsidR="00F826E9" w:rsidRDefault="00F826E9" w:rsidP="0058232C">
            <w:pPr>
              <w:rPr>
                <w:rFonts w:ascii="Arial" w:hAnsi="Arial"/>
              </w:rPr>
            </w:pPr>
          </w:p>
        </w:tc>
        <w:tc>
          <w:tcPr>
            <w:tcW w:w="7614" w:type="dxa"/>
          </w:tcPr>
          <w:p w:rsidR="00F826E9" w:rsidRDefault="00F826E9" w:rsidP="0058232C">
            <w:pPr>
              <w:rPr>
                <w:rFonts w:ascii="Arial" w:hAnsi="Arial"/>
                <w:u w:val="single"/>
              </w:rPr>
            </w:pPr>
            <w:r>
              <w:rPr>
                <w:rFonts w:ascii="Arial" w:hAnsi="Arial"/>
                <w:u w:val="single"/>
              </w:rPr>
              <w:t>Potential Elements of the Performance:</w:t>
            </w: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Calculate the minimum ampacity of conductors and overcurrent devices for:</w:t>
            </w:r>
          </w:p>
          <w:p w:rsidR="00F826E9" w:rsidRPr="002F3978" w:rsidRDefault="00F826E9" w:rsidP="00F826E9">
            <w:pPr>
              <w:widowControl w:val="0"/>
              <w:numPr>
                <w:ilvl w:val="1"/>
                <w:numId w:val="17"/>
              </w:numPr>
              <w:rPr>
                <w:rFonts w:ascii="Arial" w:hAnsi="Arial" w:cs="Arial"/>
              </w:rPr>
            </w:pPr>
            <w:r w:rsidRPr="002F3978">
              <w:rPr>
                <w:rFonts w:ascii="Arial" w:hAnsi="Arial" w:cs="Arial"/>
              </w:rPr>
              <w:t>Apartment and Similar Buildings</w:t>
            </w:r>
          </w:p>
          <w:p w:rsidR="00F826E9" w:rsidRPr="002F3978" w:rsidRDefault="00F826E9" w:rsidP="00F826E9">
            <w:pPr>
              <w:widowControl w:val="0"/>
              <w:numPr>
                <w:ilvl w:val="1"/>
                <w:numId w:val="17"/>
              </w:numPr>
              <w:rPr>
                <w:rFonts w:ascii="Arial" w:hAnsi="Arial" w:cs="Arial"/>
              </w:rPr>
            </w:pPr>
            <w:r w:rsidRPr="002F3978">
              <w:rPr>
                <w:rFonts w:ascii="Arial" w:hAnsi="Arial" w:cs="Arial"/>
              </w:rPr>
              <w:t>Schools</w:t>
            </w:r>
          </w:p>
          <w:p w:rsidR="00F826E9" w:rsidRPr="002F3978" w:rsidRDefault="00F826E9" w:rsidP="00F826E9">
            <w:pPr>
              <w:widowControl w:val="0"/>
              <w:numPr>
                <w:ilvl w:val="1"/>
                <w:numId w:val="17"/>
              </w:numPr>
              <w:rPr>
                <w:rFonts w:ascii="Arial" w:hAnsi="Arial" w:cs="Arial"/>
              </w:rPr>
            </w:pPr>
            <w:r w:rsidRPr="002F3978">
              <w:rPr>
                <w:rFonts w:ascii="Arial" w:hAnsi="Arial" w:cs="Arial"/>
              </w:rPr>
              <w:t>Hospitals</w:t>
            </w:r>
          </w:p>
          <w:p w:rsidR="00F826E9" w:rsidRPr="002F3978" w:rsidRDefault="00F826E9" w:rsidP="00F826E9">
            <w:pPr>
              <w:numPr>
                <w:ilvl w:val="1"/>
                <w:numId w:val="17"/>
              </w:numPr>
              <w:rPr>
                <w:rFonts w:ascii="Arial" w:hAnsi="Arial" w:cs="Arial"/>
              </w:rPr>
            </w:pPr>
            <w:r w:rsidRPr="002F3978">
              <w:rPr>
                <w:rFonts w:ascii="Arial" w:hAnsi="Arial" w:cs="Arial"/>
              </w:rPr>
              <w:t>Hotels, motels, dormitories, and buildings of similar occupancies</w:t>
            </w:r>
          </w:p>
          <w:p w:rsidR="00F826E9" w:rsidRDefault="00F826E9" w:rsidP="00F826E9">
            <w:pPr>
              <w:numPr>
                <w:ilvl w:val="1"/>
                <w:numId w:val="17"/>
              </w:numPr>
              <w:rPr>
                <w:rFonts w:ascii="Arial" w:hAnsi="Arial" w:cs="Arial"/>
              </w:rPr>
            </w:pPr>
            <w:r w:rsidRPr="002F3978">
              <w:rPr>
                <w:rFonts w:ascii="Arial" w:hAnsi="Arial" w:cs="Arial"/>
              </w:rPr>
              <w:t>Other types of occupancies</w:t>
            </w:r>
          </w:p>
          <w:p w:rsidR="00F826E9" w:rsidRPr="003F11BF" w:rsidRDefault="00F826E9" w:rsidP="0058232C">
            <w:pPr>
              <w:ind w:left="1440"/>
              <w:rPr>
                <w:rFonts w:ascii="Arial" w:hAnsi="Arial" w:cs="Arial"/>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Interpret the CEC regulations for protection including fuses, circuit breakers and ground fault protection and control devices including switches, panelboards and solid state devices (Section 14).</w:t>
            </w:r>
          </w:p>
          <w:p w:rsidR="00F826E9" w:rsidRPr="002F3978" w:rsidRDefault="00F826E9" w:rsidP="0058232C">
            <w:pPr>
              <w:pStyle w:val="Level1"/>
              <w:widowControl/>
              <w:ind w:hanging="1094"/>
              <w:rPr>
                <w:rFonts w:ascii="Arial" w:hAnsi="Arial" w:cs="Arial"/>
                <w:snapToGrid/>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List and explain the re</w:t>
            </w:r>
            <w:r w:rsidRPr="003F11BF">
              <w:rPr>
                <w:rFonts w:ascii="Arial" w:hAnsi="Arial" w:cs="Arial"/>
                <w:i/>
              </w:rPr>
              <w:t>q</w:t>
            </w:r>
            <w:r w:rsidRPr="002F3978">
              <w:rPr>
                <w:rFonts w:ascii="Arial" w:hAnsi="Arial" w:cs="Arial"/>
              </w:rPr>
              <w:t>uirements for different classifications of hazardous locations.</w:t>
            </w:r>
          </w:p>
          <w:p w:rsidR="00F826E9" w:rsidRPr="002F3978" w:rsidRDefault="00F826E9" w:rsidP="0058232C">
            <w:pPr>
              <w:pStyle w:val="Level1"/>
              <w:widowControl/>
              <w:ind w:left="0" w:hanging="1094"/>
              <w:rPr>
                <w:rFonts w:ascii="Arial" w:hAnsi="Arial" w:cs="Arial"/>
                <w:snapToGrid/>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Interpret the CEC regulations pertaining to hospitals (Section 24).</w:t>
            </w:r>
          </w:p>
          <w:p w:rsidR="00F826E9" w:rsidRPr="002F3978" w:rsidRDefault="00F826E9" w:rsidP="0058232C">
            <w:pPr>
              <w:tabs>
                <w:tab w:val="left" w:pos="2340"/>
              </w:tabs>
              <w:ind w:left="360" w:hanging="1094"/>
              <w:rPr>
                <w:rFonts w:ascii="Arial" w:hAnsi="Arial" w:cs="Arial"/>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Interpret the CEC regulations pertaining to Storage Batteries.</w:t>
            </w:r>
          </w:p>
          <w:p w:rsidR="00F826E9" w:rsidRPr="002F3978" w:rsidRDefault="00F826E9" w:rsidP="0058232C">
            <w:pPr>
              <w:pStyle w:val="Level1"/>
              <w:widowControl/>
              <w:ind w:left="0" w:hanging="1094"/>
              <w:rPr>
                <w:rFonts w:ascii="Arial" w:hAnsi="Arial" w:cs="Arial"/>
                <w:snapToGrid/>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Explain the CEC installation requirements as applicable to branch circuits, overload, and overcurrent protection for individual continuous and non-continuous duty service motors (Section 28).</w:t>
            </w:r>
          </w:p>
          <w:p w:rsidR="00F826E9" w:rsidRPr="002F3978" w:rsidRDefault="00F826E9" w:rsidP="0058232C">
            <w:pPr>
              <w:pStyle w:val="Level1"/>
              <w:widowControl/>
              <w:ind w:left="0" w:hanging="1094"/>
              <w:rPr>
                <w:rFonts w:ascii="Arial" w:hAnsi="Arial" w:cs="Arial"/>
                <w:snapToGrid/>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Interpret the CEC regulations as applicable to interior and exterior lighting equipment (Section 30).</w:t>
            </w:r>
          </w:p>
          <w:p w:rsidR="00F826E9" w:rsidRDefault="00F826E9" w:rsidP="0058232C">
            <w:pPr>
              <w:rPr>
                <w:rFonts w:ascii="Arial" w:hAnsi="Arial" w:cs="Arial"/>
              </w:rPr>
            </w:pPr>
          </w:p>
          <w:p w:rsidR="001B4C0B" w:rsidRDefault="001B4C0B" w:rsidP="0058232C">
            <w:pPr>
              <w:rPr>
                <w:rFonts w:ascii="Arial" w:hAnsi="Arial" w:cs="Arial"/>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lastRenderedPageBreak/>
              <w:t>Interpret CEC regulations governing the installation of optical fibre cables including non-conductive optical fibre, conductive optical fibre and hybrid cables (Section 56); coaxial cables including protection, grounding, indoor, outdoor, overhead and underground installations (Section 54)</w:t>
            </w:r>
            <w:proofErr w:type="gramStart"/>
            <w:r w:rsidRPr="002F3978">
              <w:rPr>
                <w:rFonts w:ascii="Arial" w:hAnsi="Arial" w:cs="Arial"/>
              </w:rPr>
              <w:t>;  and</w:t>
            </w:r>
            <w:proofErr w:type="gramEnd"/>
            <w:r w:rsidRPr="002F3978">
              <w:rPr>
                <w:rFonts w:ascii="Arial" w:hAnsi="Arial" w:cs="Arial"/>
              </w:rPr>
              <w:t xml:space="preserve"> communication cables including protection, grounding, indoor, outdoor, overhead and underground installations (Section 60).</w:t>
            </w:r>
          </w:p>
          <w:p w:rsidR="00F826E9" w:rsidRDefault="00F826E9" w:rsidP="0058232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F826E9">
        <w:tc>
          <w:tcPr>
            <w:tcW w:w="675" w:type="dxa"/>
          </w:tcPr>
          <w:p w:rsidR="00F826E9" w:rsidRDefault="00F826E9">
            <w:pPr>
              <w:rPr>
                <w:rFonts w:ascii="Arial" w:hAnsi="Arial"/>
              </w:rPr>
            </w:pPr>
          </w:p>
        </w:tc>
        <w:tc>
          <w:tcPr>
            <w:tcW w:w="567" w:type="dxa"/>
          </w:tcPr>
          <w:p w:rsidR="00F826E9" w:rsidRDefault="00F826E9">
            <w:pPr>
              <w:rPr>
                <w:rFonts w:ascii="Arial" w:hAnsi="Arial"/>
              </w:rPr>
            </w:pPr>
            <w:r>
              <w:rPr>
                <w:rFonts w:ascii="Arial" w:hAnsi="Arial"/>
              </w:rPr>
              <w:t>1.</w:t>
            </w:r>
          </w:p>
        </w:tc>
        <w:tc>
          <w:tcPr>
            <w:tcW w:w="7614" w:type="dxa"/>
          </w:tcPr>
          <w:p w:rsidR="00F826E9" w:rsidRDefault="00F826E9">
            <w:r w:rsidRPr="000F1460">
              <w:rPr>
                <w:rFonts w:ascii="Arial" w:hAnsi="Arial" w:cs="Arial"/>
              </w:rPr>
              <w:t>Canadian Electrical Code, Commercial Rules</w:t>
            </w:r>
          </w:p>
        </w:tc>
      </w:tr>
      <w:tr w:rsidR="00F826E9">
        <w:tc>
          <w:tcPr>
            <w:tcW w:w="675" w:type="dxa"/>
          </w:tcPr>
          <w:p w:rsidR="00F826E9" w:rsidRDefault="00F826E9">
            <w:pPr>
              <w:rPr>
                <w:rFonts w:ascii="Arial" w:hAnsi="Arial"/>
              </w:rPr>
            </w:pPr>
          </w:p>
        </w:tc>
        <w:tc>
          <w:tcPr>
            <w:tcW w:w="567" w:type="dxa"/>
          </w:tcPr>
          <w:p w:rsidR="00F826E9" w:rsidRDefault="00F826E9">
            <w:pPr>
              <w:rPr>
                <w:rFonts w:ascii="Arial" w:hAnsi="Arial"/>
              </w:rPr>
            </w:pPr>
          </w:p>
        </w:tc>
        <w:tc>
          <w:tcPr>
            <w:tcW w:w="7614" w:type="dxa"/>
          </w:tcPr>
          <w:p w:rsidR="00F826E9" w:rsidRDefault="00F826E9"/>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b/>
              </w:rPr>
            </w:pPr>
            <w:r>
              <w:rPr>
                <w:rFonts w:ascii="Arial" w:hAnsi="Arial"/>
                <w:b/>
              </w:rPr>
              <w:t xml:space="preserve"> </w:t>
            </w:r>
            <w:r w:rsidR="00CF0384">
              <w:rPr>
                <w:rFonts w:ascii="Arial" w:hAnsi="Arial"/>
                <w:i/>
              </w:rPr>
              <w:t>Ontario Electrical Safety Code current version</w:t>
            </w:r>
          </w:p>
          <w:p w:rsidR="00D1300B" w:rsidRDefault="00D1300B" w:rsidP="0013453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384" w:rsidRDefault="00CF0384" w:rsidP="00CF0384">
            <w:pPr>
              <w:rPr>
                <w:rFonts w:ascii="Arial" w:hAnsi="Arial"/>
              </w:rPr>
            </w:pPr>
            <w:r>
              <w:rPr>
                <w:rFonts w:ascii="Arial" w:hAnsi="Arial"/>
              </w:rPr>
              <w:t>Tests worth 100%</w:t>
            </w:r>
          </w:p>
          <w:p w:rsidR="00CF0384" w:rsidRDefault="00CF0384" w:rsidP="00CF0384">
            <w:pPr>
              <w:rPr>
                <w:rFonts w:ascii="Arial" w:hAnsi="Arial"/>
              </w:rPr>
            </w:pPr>
            <w:r>
              <w:rPr>
                <w:rFonts w:ascii="Arial" w:hAnsi="Arial"/>
              </w:rPr>
              <w:t>Unannounced quizzes 5% each of the above 100%</w:t>
            </w:r>
          </w:p>
          <w:p w:rsidR="00CF0384" w:rsidRDefault="00CF0384" w:rsidP="00CF0384">
            <w:pPr>
              <w:rPr>
                <w:rFonts w:ascii="Arial" w:hAnsi="Arial"/>
              </w:rPr>
            </w:pPr>
          </w:p>
          <w:p w:rsidR="00CF0384" w:rsidRPr="006366DA" w:rsidRDefault="00F826E9" w:rsidP="006366DA">
            <w:pPr>
              <w:pStyle w:val="ListParagraph"/>
              <w:numPr>
                <w:ilvl w:val="0"/>
                <w:numId w:val="18"/>
              </w:numPr>
              <w:rPr>
                <w:rFonts w:ascii="Arial" w:hAnsi="Arial"/>
              </w:rPr>
            </w:pPr>
            <w:r w:rsidRPr="006366DA">
              <w:rPr>
                <w:rFonts w:ascii="Arial" w:hAnsi="Arial"/>
              </w:rPr>
              <w:t>There will likely be 2</w:t>
            </w:r>
            <w:r w:rsidR="00CF0384" w:rsidRPr="006366DA">
              <w:rPr>
                <w:rFonts w:ascii="Arial" w:hAnsi="Arial"/>
              </w:rPr>
              <w:t xml:space="preserve"> tests during the intake and dates will be identified in class.</w:t>
            </w:r>
          </w:p>
          <w:p w:rsidR="00CF0384" w:rsidRPr="006366DA" w:rsidRDefault="00CF0384" w:rsidP="006366DA">
            <w:pPr>
              <w:pStyle w:val="ListParagraph"/>
              <w:numPr>
                <w:ilvl w:val="0"/>
                <w:numId w:val="18"/>
              </w:numPr>
              <w:rPr>
                <w:rFonts w:ascii="Arial" w:hAnsi="Arial"/>
              </w:rPr>
            </w:pPr>
            <w:r w:rsidRPr="006366DA">
              <w:rPr>
                <w:rFonts w:ascii="Arial" w:hAnsi="Arial"/>
              </w:rPr>
              <w:t>The professor reserves the right to adjust the number of tests as warranted. Any modifications will be discussed in class.</w:t>
            </w:r>
          </w:p>
          <w:p w:rsidR="00CF0384" w:rsidRPr="006366DA" w:rsidRDefault="00CF0384" w:rsidP="006366DA">
            <w:pPr>
              <w:pStyle w:val="ListParagraph"/>
              <w:numPr>
                <w:ilvl w:val="0"/>
                <w:numId w:val="18"/>
              </w:numPr>
              <w:rPr>
                <w:rFonts w:ascii="Arial" w:hAnsi="Arial"/>
              </w:rPr>
            </w:pPr>
            <w:r w:rsidRPr="006366DA">
              <w:rPr>
                <w:rFonts w:ascii="Arial" w:hAnsi="Arial"/>
              </w:rPr>
              <w:t>Attendance is mandatory and quizzes will only be marked when completed in class.</w:t>
            </w:r>
          </w:p>
          <w:p w:rsidR="00CF0384" w:rsidRPr="006366DA" w:rsidRDefault="00CF0384" w:rsidP="006366DA">
            <w:pPr>
              <w:pStyle w:val="ListParagraph"/>
              <w:numPr>
                <w:ilvl w:val="0"/>
                <w:numId w:val="18"/>
              </w:numPr>
              <w:rPr>
                <w:rFonts w:ascii="Arial" w:hAnsi="Arial" w:cs="Arial"/>
              </w:rPr>
            </w:pPr>
            <w:r w:rsidRPr="006366DA">
              <w:rPr>
                <w:rFonts w:ascii="Arial" w:hAnsi="Arial" w:cs="Arial"/>
              </w:rPr>
              <w:t>Tests will not be returned but will be available for review.</w:t>
            </w:r>
          </w:p>
          <w:p w:rsidR="006366DA" w:rsidRDefault="006366DA" w:rsidP="00CF0384">
            <w:pPr>
              <w:pStyle w:val="EnvelopeReturn"/>
              <w:rPr>
                <w:rFonts w:cs="Arial"/>
              </w:rPr>
            </w:pPr>
          </w:p>
          <w:p w:rsidR="00CF0384" w:rsidRDefault="00CF0384" w:rsidP="00CF0384">
            <w:pPr>
              <w:pStyle w:val="EnvelopeReturn"/>
              <w:rPr>
                <w:rFonts w:cs="Arial"/>
              </w:rPr>
            </w:pPr>
            <w:r w:rsidRPr="001B4C0B">
              <w:rPr>
                <w:rFonts w:cs="Arial"/>
                <w:b/>
              </w:rPr>
              <w:t>*See special notes</w:t>
            </w:r>
            <w:r>
              <w:rPr>
                <w:rFonts w:cs="Arial"/>
              </w:rPr>
              <w:t>.</w:t>
            </w:r>
          </w:p>
          <w:p w:rsidR="001B4C0B" w:rsidRDefault="001B4C0B">
            <w:pPr>
              <w:pStyle w:val="EnvelopeReturn"/>
            </w:pPr>
          </w:p>
        </w:tc>
      </w:tr>
    </w:tbl>
    <w:p w:rsidR="001B4C0B" w:rsidRDefault="001B4C0B"/>
    <w:p w:rsidR="001B4C0B" w:rsidRDefault="001B4C0B"/>
    <w:p w:rsidR="001B4C0B" w:rsidRDefault="001B4C0B"/>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1B4C0B" w:rsidRDefault="001B4C0B">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1B4C0B" w:rsidRDefault="001B4C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6366DA">
        <w:trPr>
          <w:cantSplit/>
        </w:trPr>
        <w:tc>
          <w:tcPr>
            <w:tcW w:w="675" w:type="dxa"/>
          </w:tcPr>
          <w:p w:rsidR="006366DA" w:rsidRDefault="006366DA">
            <w:pPr>
              <w:rPr>
                <w:rFonts w:ascii="Arial" w:hAnsi="Arial"/>
                <w:b/>
              </w:rPr>
            </w:pPr>
          </w:p>
        </w:tc>
        <w:tc>
          <w:tcPr>
            <w:tcW w:w="8181" w:type="dxa"/>
            <w:gridSpan w:val="2"/>
          </w:tcPr>
          <w:p w:rsidR="006366DA" w:rsidRDefault="006366DA" w:rsidP="006366DA">
            <w:pPr>
              <w:rPr>
                <w:rFonts w:ascii="Arial" w:hAnsi="Arial" w:cs="Arial"/>
                <w:szCs w:val="24"/>
                <w:u w:val="single"/>
              </w:rPr>
            </w:pPr>
            <w:r>
              <w:rPr>
                <w:rFonts w:ascii="Arial" w:hAnsi="Arial" w:cs="Arial"/>
                <w:szCs w:val="24"/>
                <w:u w:val="single"/>
              </w:rPr>
              <w:t>Attendance:</w:t>
            </w:r>
          </w:p>
          <w:p w:rsidR="006366DA" w:rsidRDefault="006366DA" w:rsidP="006366DA">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6366DA" w:rsidRDefault="006366DA" w:rsidP="006366DA">
            <w:pPr>
              <w:rPr>
                <w:rFonts w:ascii="Arial" w:hAnsi="Arial" w:cs="Arial"/>
                <w:bCs/>
                <w:color w:val="000000"/>
              </w:rPr>
            </w:pPr>
          </w:p>
          <w:p w:rsidR="006366DA" w:rsidRPr="0013453F" w:rsidRDefault="006366DA" w:rsidP="006366DA">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6366DA" w:rsidRDefault="006366DA" w:rsidP="003A0238">
            <w:pPr>
              <w:rPr>
                <w:rFonts w:ascii="Arial" w:hAnsi="Arial"/>
                <w:b/>
              </w:rPr>
            </w:pPr>
          </w:p>
        </w:tc>
      </w:tr>
      <w:tr w:rsidR="00EF4EC9" w:rsidRPr="00723208" w:rsidTr="004E298B">
        <w:trPr>
          <w:gridAfter w:val="1"/>
          <w:wAfter w:w="18" w:type="dxa"/>
          <w:cantSplit/>
        </w:trPr>
        <w:tc>
          <w:tcPr>
            <w:tcW w:w="8838" w:type="dxa"/>
            <w:gridSpan w:val="2"/>
          </w:tcPr>
          <w:p w:rsidR="0013453F" w:rsidRPr="0013453F" w:rsidRDefault="0013453F" w:rsidP="0013453F">
            <w:pPr>
              <w:rPr>
                <w:rFonts w:ascii="Arial" w:hAnsi="Arial" w:cs="Arial"/>
              </w:rPr>
            </w:pPr>
            <w:r w:rsidRPr="0013453F">
              <w:rPr>
                <w:rFonts w:ascii="Arial" w:hAnsi="Arial"/>
              </w:rPr>
              <w:lastRenderedPageBreak/>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12E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3E0AF5">
          <w:pPr>
            <w:rPr>
              <w:rFonts w:ascii="Arial" w:hAnsi="Arial"/>
              <w:snapToGrid w:val="0"/>
            </w:rPr>
          </w:pPr>
          <w:r>
            <w:rPr>
              <w:rFonts w:ascii="Arial" w:hAnsi="Arial"/>
              <w:snapToGrid w:val="0"/>
            </w:rPr>
            <w:t>ELR7</w:t>
          </w:r>
          <w:r w:rsidR="002F2DC2">
            <w:rPr>
              <w:rFonts w:ascii="Arial" w:hAnsi="Arial"/>
              <w:snapToGrid w:val="0"/>
            </w:rPr>
            <w:t>23</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2F2DC2">
          <w:pPr>
            <w:pStyle w:val="Header"/>
            <w:jc w:val="right"/>
            <w:rPr>
              <w:rFonts w:ascii="Arial" w:hAnsi="Arial"/>
              <w:snapToGrid w:val="0"/>
            </w:rPr>
          </w:pPr>
          <w:r>
            <w:rPr>
              <w:rFonts w:ascii="Arial" w:hAnsi="Arial"/>
              <w:snapToGrid w:val="0"/>
            </w:rPr>
            <w:t>CODE</w:t>
          </w: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7D4EA4"/>
    <w:multiLevelType w:val="hybridMultilevel"/>
    <w:tmpl w:val="529C9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DF474F7"/>
    <w:multiLevelType w:val="hybridMultilevel"/>
    <w:tmpl w:val="0CFC963C"/>
    <w:lvl w:ilvl="0" w:tplc="EF52D9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2"/>
  </w:num>
  <w:num w:numId="5">
    <w:abstractNumId w:val="17"/>
  </w:num>
  <w:num w:numId="6">
    <w:abstractNumId w:val="3"/>
  </w:num>
  <w:num w:numId="7">
    <w:abstractNumId w:val="1"/>
  </w:num>
  <w:num w:numId="8">
    <w:abstractNumId w:val="11"/>
  </w:num>
  <w:num w:numId="9">
    <w:abstractNumId w:val="13"/>
  </w:num>
  <w:num w:numId="10">
    <w:abstractNumId w:val="4"/>
  </w:num>
  <w:num w:numId="11">
    <w:abstractNumId w:val="9"/>
  </w:num>
  <w:num w:numId="12">
    <w:abstractNumId w:val="0"/>
  </w:num>
  <w:num w:numId="13">
    <w:abstractNumId w:val="6"/>
  </w:num>
  <w:num w:numId="14">
    <w:abstractNumId w:val="10"/>
  </w:num>
  <w:num w:numId="15">
    <w:abstractNumId w:val="5"/>
  </w:num>
  <w:num w:numId="16">
    <w:abstractNumId w:val="16"/>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453F"/>
    <w:rsid w:val="001428EB"/>
    <w:rsid w:val="00177078"/>
    <w:rsid w:val="001B4C0B"/>
    <w:rsid w:val="001B72EE"/>
    <w:rsid w:val="00283F8A"/>
    <w:rsid w:val="002876E6"/>
    <w:rsid w:val="00295232"/>
    <w:rsid w:val="002D0F95"/>
    <w:rsid w:val="002D240A"/>
    <w:rsid w:val="002F2DC2"/>
    <w:rsid w:val="003A0238"/>
    <w:rsid w:val="003D0B70"/>
    <w:rsid w:val="003D5562"/>
    <w:rsid w:val="003E0AF5"/>
    <w:rsid w:val="00441621"/>
    <w:rsid w:val="00441ECC"/>
    <w:rsid w:val="00455859"/>
    <w:rsid w:val="00497B5F"/>
    <w:rsid w:val="004E298B"/>
    <w:rsid w:val="00532940"/>
    <w:rsid w:val="00533537"/>
    <w:rsid w:val="0056705E"/>
    <w:rsid w:val="005A28BC"/>
    <w:rsid w:val="005C10A6"/>
    <w:rsid w:val="005D6574"/>
    <w:rsid w:val="00613807"/>
    <w:rsid w:val="00626C24"/>
    <w:rsid w:val="006366DA"/>
    <w:rsid w:val="00721404"/>
    <w:rsid w:val="00721FF2"/>
    <w:rsid w:val="00723208"/>
    <w:rsid w:val="00754E67"/>
    <w:rsid w:val="007A0698"/>
    <w:rsid w:val="007E6621"/>
    <w:rsid w:val="007F132C"/>
    <w:rsid w:val="007F73A4"/>
    <w:rsid w:val="00807801"/>
    <w:rsid w:val="008476B6"/>
    <w:rsid w:val="00867048"/>
    <w:rsid w:val="00905DEF"/>
    <w:rsid w:val="009B5B24"/>
    <w:rsid w:val="00A01D87"/>
    <w:rsid w:val="00A023DB"/>
    <w:rsid w:val="00A85995"/>
    <w:rsid w:val="00A9176F"/>
    <w:rsid w:val="00A97B10"/>
    <w:rsid w:val="00AC2FAA"/>
    <w:rsid w:val="00AC5756"/>
    <w:rsid w:val="00B50404"/>
    <w:rsid w:val="00B778BA"/>
    <w:rsid w:val="00B835FC"/>
    <w:rsid w:val="00B84A16"/>
    <w:rsid w:val="00BA119A"/>
    <w:rsid w:val="00BA318C"/>
    <w:rsid w:val="00BC7832"/>
    <w:rsid w:val="00BE4556"/>
    <w:rsid w:val="00C0550E"/>
    <w:rsid w:val="00C53F7E"/>
    <w:rsid w:val="00C87B5D"/>
    <w:rsid w:val="00C97440"/>
    <w:rsid w:val="00C97897"/>
    <w:rsid w:val="00CB4EB0"/>
    <w:rsid w:val="00CF0384"/>
    <w:rsid w:val="00D1300B"/>
    <w:rsid w:val="00D72CA9"/>
    <w:rsid w:val="00DC1839"/>
    <w:rsid w:val="00E25868"/>
    <w:rsid w:val="00E52661"/>
    <w:rsid w:val="00E8152E"/>
    <w:rsid w:val="00E86FF6"/>
    <w:rsid w:val="00EE6E49"/>
    <w:rsid w:val="00EF4EC9"/>
    <w:rsid w:val="00F0236B"/>
    <w:rsid w:val="00F112E6"/>
    <w:rsid w:val="00F430A9"/>
    <w:rsid w:val="00F826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6366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636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A55DC-A9D7-468A-9014-05A377E66D7C}"/>
</file>

<file path=customXml/itemProps2.xml><?xml version="1.0" encoding="utf-8"?>
<ds:datastoreItem xmlns:ds="http://schemas.openxmlformats.org/officeDocument/2006/customXml" ds:itemID="{691614F6-CB64-45E8-8982-0E09998B657C}"/>
</file>

<file path=customXml/itemProps3.xml><?xml version="1.0" encoding="utf-8"?>
<ds:datastoreItem xmlns:ds="http://schemas.openxmlformats.org/officeDocument/2006/customXml" ds:itemID="{DA394C98-5254-4F32-ADB2-F12F4E5F7CDD}"/>
</file>

<file path=docProps/app.xml><?xml version="1.0" encoding="utf-8"?>
<Properties xmlns="http://schemas.openxmlformats.org/officeDocument/2006/extended-properties" xmlns:vt="http://schemas.openxmlformats.org/officeDocument/2006/docPropsVTypes">
  <Template>Normal.dotm</Template>
  <TotalTime>2</TotalTime>
  <Pages>5</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4</cp:revision>
  <cp:lastPrinted>2007-05-04T14:50:00Z</cp:lastPrinted>
  <dcterms:created xsi:type="dcterms:W3CDTF">2015-05-26T17:36:00Z</dcterms:created>
  <dcterms:modified xsi:type="dcterms:W3CDTF">2015-05-28T16:30:00Z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8867600</vt:r8>
  </property>
</Properties>
</file>